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0C01" w14:textId="5A0A7A9B" w:rsidR="00AC2473" w:rsidRPr="00AC2473" w:rsidRDefault="00AC2473" w:rsidP="00AC2473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20"/>
          <w:szCs w:val="18"/>
          <w:lang w:eastAsia="hu-HU"/>
        </w:rPr>
      </w:pPr>
      <w:r w:rsidRPr="00AC2473">
        <w:rPr>
          <w:rFonts w:ascii="Garamond" w:eastAsia="Times New Roman" w:hAnsi="Garamond" w:cs="Arial"/>
          <w:b/>
          <w:bCs/>
          <w:sz w:val="28"/>
          <w:szCs w:val="24"/>
          <w:lang w:eastAsia="hu-HU"/>
        </w:rPr>
        <w:t>Jókai Mór színházi öröksége képekben – száznégy ritka fotó a nemzeti könyvtár Fotóterében</w:t>
      </w:r>
    </w:p>
    <w:p w14:paraId="7C0B5F1F" w14:textId="3C5030A5" w:rsidR="00AC2473" w:rsidRDefault="00AC2473" w:rsidP="00AC247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AC2473">
        <w:rPr>
          <w:rFonts w:ascii="Arial" w:eastAsia="Times New Roman" w:hAnsi="Arial" w:cs="Arial"/>
          <w:lang w:eastAsia="hu-HU"/>
        </w:rPr>
        <w:t> </w:t>
      </w:r>
    </w:p>
    <w:p w14:paraId="5B4D2384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6"/>
          <w:szCs w:val="26"/>
          <w:lang w:eastAsia="hu-HU"/>
        </w:rPr>
      </w:pPr>
      <w:r w:rsidRPr="00AC2473">
        <w:rPr>
          <w:rFonts w:ascii="Garamond" w:eastAsia="Times New Roman" w:hAnsi="Garamond" w:cs="Arial"/>
          <w:b/>
          <w:bCs/>
          <w:sz w:val="26"/>
          <w:szCs w:val="26"/>
          <w:lang w:eastAsia="hu-HU"/>
        </w:rPr>
        <w:t xml:space="preserve">Az MNMKK Országos Széchényi Könyvtár </w:t>
      </w:r>
      <w:hyperlink r:id="rId10" w:tgtFrame="_blank" w:history="1">
        <w:r w:rsidRPr="00AC2473">
          <w:rPr>
            <w:rFonts w:ascii="Garamond" w:eastAsia="Times New Roman" w:hAnsi="Garamond" w:cs="Arial"/>
            <w:b/>
            <w:bCs/>
            <w:color w:val="0563C1"/>
            <w:sz w:val="26"/>
            <w:szCs w:val="26"/>
            <w:u w:val="single"/>
            <w:lang w:eastAsia="hu-HU"/>
          </w:rPr>
          <w:t>Fotótér</w:t>
        </w:r>
      </w:hyperlink>
      <w:r w:rsidRPr="00AC2473">
        <w:rPr>
          <w:rFonts w:ascii="Garamond" w:eastAsia="Times New Roman" w:hAnsi="Garamond" w:cs="Arial"/>
          <w:b/>
          <w:bCs/>
          <w:sz w:val="26"/>
          <w:szCs w:val="26"/>
          <w:lang w:eastAsia="hu-HU"/>
        </w:rPr>
        <w:t xml:space="preserve"> elnevezésű online tartalomszolgáltatása új, különleges válogatással gazdagodott: a Jókai-emlékév alkalmából száznégy Jókai Mórhoz és színházi munkásságához kapcsolódó </w:t>
      </w:r>
      <w:hyperlink r:id="rId11" w:anchor="targyszavak=J%C3%B3kai%20M%C3%B3r%20(1825-1904)&amp;lelohely=.OSZK%20Sz%C3%ADnh%C3%A1zt%C3%B6rt%C3%A9neti%20%C3%A9s%20Zenem%C5%B1t%C3%A1r" w:tgtFrame="_blank" w:history="1">
        <w:r w:rsidRPr="00AC2473">
          <w:rPr>
            <w:rFonts w:ascii="Garamond" w:eastAsia="Times New Roman" w:hAnsi="Garamond" w:cs="Arial"/>
            <w:b/>
            <w:bCs/>
            <w:color w:val="0563C1"/>
            <w:sz w:val="26"/>
            <w:szCs w:val="26"/>
            <w:u w:val="single"/>
            <w:lang w:eastAsia="hu-HU"/>
          </w:rPr>
          <w:t>fényképet publikált</w:t>
        </w:r>
      </w:hyperlink>
      <w:r w:rsidRPr="00AC2473">
        <w:rPr>
          <w:rFonts w:ascii="Garamond" w:eastAsia="Times New Roman" w:hAnsi="Garamond" w:cs="Arial"/>
          <w:b/>
          <w:bCs/>
          <w:sz w:val="26"/>
          <w:szCs w:val="26"/>
          <w:lang w:eastAsia="hu-HU"/>
        </w:rPr>
        <w:t>. </w:t>
      </w:r>
      <w:r w:rsidRPr="00AC2473">
        <w:rPr>
          <w:rFonts w:ascii="Garamond" w:eastAsia="Times New Roman" w:hAnsi="Garamond" w:cs="Arial"/>
          <w:sz w:val="26"/>
          <w:szCs w:val="26"/>
          <w:lang w:eastAsia="hu-HU"/>
        </w:rPr>
        <w:t> </w:t>
      </w:r>
    </w:p>
    <w:p w14:paraId="39587783" w14:textId="4FA72BC1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11EDC066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A </w:t>
      </w:r>
      <w:hyperlink r:id="rId12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Fotótér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a nemzeti könyvtár folyamatosan bővülő felülete, amely reprezentatív kínálatot nyújt az intézmény csaknem hatszázezer darabos fényképgyűjteményéből.  </w:t>
      </w:r>
    </w:p>
    <w:p w14:paraId="68FABA6E" w14:textId="39A99323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</w:p>
    <w:p w14:paraId="75CF02B2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Jókai Mór regényei és publicisztikai életműve mellett több mint harminc drámai alkotás – tragédia, színjáték, népszínmű, ünnepi alkalmakra írt színmű és drámai prológ – szerzője is; műveiből számos dramatizálás, sőt operalibrettó készült. A </w:t>
      </w:r>
      <w:hyperlink r:id="rId13" w:anchor="targyszavak=J%C3%B3kai%20M%C3%B3r%20(1825-1904)&amp;lelohely=.OSZK%20Sz%C3%ADnh%C3%A1zt%C3%B6rt%C3%A9neti%20%C3%A9s%20Zenem%C5%B1t%C3%A1r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most közzétett, száznégy darabból álló fotóanyag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a XIX. századi magyar színjátszás világába vezet, és az MNMKK OSZK Színháztörténeti és Zeneműtárának gazdag gyűjteményéből válogatott, Jókaihoz kapcsolódó legkorábbi fényképeket tárja a nagyközönség elé.  </w:t>
      </w:r>
    </w:p>
    <w:p w14:paraId="21A766B8" w14:textId="397E76B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</w:p>
    <w:p w14:paraId="2E1C64A8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A fotók egyik része </w:t>
      </w:r>
      <w:hyperlink r:id="rId14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Jókait ábrázoló portré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; köztük felfedezhető több azonos felvétel is, amelyek dedikációjukban különböznek. Az ajánlások színészekhez és színházi vezetőkhöz szólnak, akik Jókai-darabokban vagy színpadra állításukban játszottak szerepet – így például Vízvári Gyulához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(Fekete vér),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Vidor Pálhoz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(A bolondok grófja),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proofErr w:type="spellStart"/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>Krecsányi</w:t>
      </w:r>
      <w:proofErr w:type="spellEnd"/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Ignáchoz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(</w:t>
      </w:r>
      <w:proofErr w:type="spellStart"/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Helvila</w:t>
      </w:r>
      <w:proofErr w:type="spellEnd"/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),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Festetics Andorhoz, a Nemzeti Színház igazgatójához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(Fekete vér).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proofErr w:type="spellStart"/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>Krecsányi</w:t>
      </w:r>
      <w:proofErr w:type="spellEnd"/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nevéhez további két ősbemutató is köthető: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A gazdag szegények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(1893) és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A kőszívű ember fiai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színpadi adaptációja (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 xml:space="preserve">Keresd a </w:t>
      </w:r>
      <w:proofErr w:type="spellStart"/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szived</w:t>
      </w:r>
      <w:proofErr w:type="spellEnd"/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1896). A válogatásból nem hiányozhat Jókai két színésznő felesége, </w:t>
      </w:r>
      <w:hyperlink r:id="rId15" w:tgtFrame="_blank" w:history="1">
        <w:proofErr w:type="spellStart"/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Laborfalvi</w:t>
        </w:r>
        <w:proofErr w:type="spellEnd"/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 xml:space="preserve"> Róza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és </w:t>
      </w:r>
      <w:hyperlink r:id="rId16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Nagy Bella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portréja sem. </w:t>
      </w:r>
    </w:p>
    <w:p w14:paraId="124E4345" w14:textId="439D0B85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</w:p>
    <w:p w14:paraId="5F77776B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A másik nagy egység a jelmezes portrék és szerepképek sora, amelyek a Jókai-színművek budapesti, kolozsvári és pozsonyi előadásait idézik fel. A képek 1904 előtt készültek, így a fotókon olyan művek és adaptációk jelennek meg, amelyek Jókai életében vagy nem sokkal halála előtt kerültek színpadra. A Nemzeti Színház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Az arany ember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előadásainak dokumentumai különösen figyelemreméltók az 1902-es felújítás Noémijét, </w:t>
      </w:r>
      <w:hyperlink r:id="rId17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Ligeti Juliskát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ábrázoló fotótól egészen </w:t>
      </w:r>
      <w:hyperlink r:id="rId18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Márkus Emília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1884-es szerepformálásáig.  </w:t>
      </w:r>
    </w:p>
    <w:p w14:paraId="33998A16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Külön színháztörténeti érdekesség, hogy a gyűjteményben fennmaradtak a budapesti ősbemutató és az alig két hónappal későbbi kolozsvári premier szinte teljes szereplőgárdájának fényképei. A fotókon a korszak olyan jeles színészei és színésznői láthatók, mint </w:t>
      </w:r>
      <w:hyperlink r:id="rId19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Újházi Ede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0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Nagy Imre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1" w:tgtFrame="_blank" w:history="1">
        <w:proofErr w:type="spellStart"/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Náday</w:t>
        </w:r>
        <w:proofErr w:type="spellEnd"/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 xml:space="preserve"> Ferenc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2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Fáy Szeréna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3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Szathmáryné Farkas Lujza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4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Ecsedi Kovács Gyula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5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Gerő Lina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, </w:t>
      </w:r>
      <w:hyperlink r:id="rId26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Szentgyörgyi István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és </w:t>
      </w:r>
      <w:hyperlink r:id="rId27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Medgyaszay Evelin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. Egy különleges, 1899-ben készült felvétel pedig a </w:t>
      </w:r>
      <w:r w:rsidRPr="00AC2473">
        <w:rPr>
          <w:rFonts w:ascii="Garamond" w:eastAsia="Times New Roman" w:hAnsi="Garamond" w:cs="Arial"/>
          <w:i/>
          <w:iCs/>
          <w:sz w:val="24"/>
          <w:szCs w:val="24"/>
          <w:lang w:eastAsia="hu-HU"/>
        </w:rPr>
        <w:t>Fekete vér</w:t>
      </w: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pozsonyi előadásából örökíti meg a fiatal </w:t>
      </w:r>
      <w:hyperlink r:id="rId28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Hettyey Arankát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>, aki később a Nemzeti Színház tragikájaként vált ismertté. </w:t>
      </w:r>
    </w:p>
    <w:p w14:paraId="24533686" w14:textId="0E29B173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</w:p>
    <w:p w14:paraId="275F85ED" w14:textId="77777777" w:rsidR="00AC2473" w:rsidRPr="00AC2473" w:rsidRDefault="00AC2473" w:rsidP="00AC2473">
      <w:pPr>
        <w:spacing w:after="0" w:line="240" w:lineRule="auto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hu-HU"/>
        </w:rPr>
      </w:pPr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A Jókai-emlékévhez kapcsolódó </w:t>
      </w:r>
      <w:hyperlink r:id="rId29" w:anchor="targyszavak=J%C3%B3kai%20M%C3%B3r%20(1825-1904)&amp;lelohely=.OSZK%20Sz%C3%ADnh%C3%A1zt%C3%B6rt%C3%A9neti%20%C3%A9s%20Zenem%C5%B1t%C3%A1r" w:tgtFrame="_blank" w:history="1">
        <w:r w:rsidRPr="00AC2473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hu-HU"/>
          </w:rPr>
          <w:t>gazdag képanyag</w:t>
        </w:r>
      </w:hyperlink>
      <w:r w:rsidRPr="00AC2473">
        <w:rPr>
          <w:rFonts w:ascii="Garamond" w:eastAsia="Times New Roman" w:hAnsi="Garamond" w:cs="Arial"/>
          <w:sz w:val="24"/>
          <w:szCs w:val="24"/>
          <w:lang w:eastAsia="hu-HU"/>
        </w:rPr>
        <w:t xml:space="preserve"> nemcsak a kutatók, hanem a magyar színháztörténet és Jókai irodalmi öröksége iránt érdeklődő nagyközönség számára is páratlan lehetőséget kínál: bepillantást enged a XIX. század végi magyar színpad világába, és közelebb hozza a dráma műfajában is maradandót alkotott szerzőt. </w:t>
      </w:r>
    </w:p>
    <w:p w14:paraId="77600772" w14:textId="1E931ED2" w:rsidR="00AC2473" w:rsidRPr="00AC2473" w:rsidRDefault="00AC2473" w:rsidP="00AC2473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2EC1427" w14:textId="5AD0BE3F" w:rsidR="00AC2473" w:rsidRPr="00AC2473" w:rsidRDefault="00AC2473" w:rsidP="00AC2473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  <w:r w:rsidRPr="00AC2473">
        <w:rPr>
          <w:rFonts w:ascii="Garamond" w:hAnsi="Garamond" w:cstheme="minorHAnsi"/>
          <w:sz w:val="24"/>
          <w:szCs w:val="24"/>
        </w:rPr>
        <w:t>További információ a sajtó képviselői számára:</w:t>
      </w:r>
      <w:r w:rsidRPr="00AC2473">
        <w:rPr>
          <w:rFonts w:ascii="Garamond" w:hAnsi="Garamond" w:cstheme="minorHAnsi"/>
          <w:color w:val="222222"/>
          <w:sz w:val="24"/>
          <w:szCs w:val="24"/>
        </w:rPr>
        <w:t xml:space="preserve"> </w:t>
      </w:r>
      <w:hyperlink r:id="rId30">
        <w:r w:rsidRPr="00AC2473">
          <w:rPr>
            <w:rStyle w:val="Internet-hivatkozs"/>
            <w:rFonts w:ascii="Garamond" w:hAnsi="Garamond" w:cstheme="minorHAnsi"/>
            <w:sz w:val="24"/>
            <w:szCs w:val="24"/>
          </w:rPr>
          <w:t>oszkpress@oszk.hu</w:t>
        </w:r>
      </w:hyperlink>
      <w:r w:rsidRPr="00AC2473">
        <w:rPr>
          <w:rFonts w:ascii="Garamond" w:hAnsi="Garamond" w:cstheme="minorHAnsi"/>
          <w:sz w:val="24"/>
          <w:szCs w:val="24"/>
        </w:rPr>
        <w:t>.</w:t>
      </w:r>
    </w:p>
    <w:sectPr w:rsidR="00AC2473" w:rsidRPr="00AC2473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E486" w14:textId="77777777" w:rsidR="000C4CE4" w:rsidRDefault="000C4CE4" w:rsidP="008B4F07">
      <w:pPr>
        <w:spacing w:after="0" w:line="240" w:lineRule="auto"/>
      </w:pPr>
      <w:r>
        <w:separator/>
      </w:r>
    </w:p>
  </w:endnote>
  <w:endnote w:type="continuationSeparator" w:id="0">
    <w:p w14:paraId="464D37EB" w14:textId="77777777" w:rsidR="000C4CE4" w:rsidRDefault="000C4CE4" w:rsidP="008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0208" w14:textId="42AC24AA" w:rsidR="008B4F07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B1CD534" w14:textId="77777777" w:rsidR="008B4F07" w:rsidRPr="00410E1A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227C1041" w14:textId="48008AED" w:rsidR="008B4F07" w:rsidRPr="008B4F07" w:rsidRDefault="376CDEEB" w:rsidP="376CDEEB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  <w:p w14:paraId="46312DB4" w14:textId="77777777" w:rsidR="008B4F07" w:rsidRDefault="008B4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B04D" w14:textId="77777777" w:rsidR="000C4CE4" w:rsidRDefault="000C4CE4" w:rsidP="008B4F07">
      <w:pPr>
        <w:spacing w:after="0" w:line="240" w:lineRule="auto"/>
      </w:pPr>
      <w:r>
        <w:separator/>
      </w:r>
    </w:p>
  </w:footnote>
  <w:footnote w:type="continuationSeparator" w:id="0">
    <w:p w14:paraId="603AF370" w14:textId="77777777" w:rsidR="000C4CE4" w:rsidRDefault="000C4CE4" w:rsidP="008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CEB8" w14:textId="6E067259" w:rsidR="008B4F07" w:rsidRDefault="008B4F07" w:rsidP="008B4F07">
    <w:pPr>
      <w:pStyle w:val="lfej"/>
      <w:jc w:val="center"/>
    </w:pPr>
    <w:r>
      <w:rPr>
        <w:noProof/>
        <w:lang w:eastAsia="hu-HU"/>
      </w:rPr>
      <w:drawing>
        <wp:inline distT="0" distB="0" distL="0" distR="0" wp14:anchorId="4EF3E16D" wp14:editId="7D1BECE2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BDBD" w14:textId="77777777" w:rsidR="008B4F07" w:rsidRDefault="008B4F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7"/>
    <w:rsid w:val="000000A4"/>
    <w:rsid w:val="00041BA3"/>
    <w:rsid w:val="000C4CE4"/>
    <w:rsid w:val="000E5C28"/>
    <w:rsid w:val="000F4500"/>
    <w:rsid w:val="000F7939"/>
    <w:rsid w:val="00115967"/>
    <w:rsid w:val="00126218"/>
    <w:rsid w:val="00177C8E"/>
    <w:rsid w:val="001E31E4"/>
    <w:rsid w:val="00216DF7"/>
    <w:rsid w:val="00224828"/>
    <w:rsid w:val="003152A2"/>
    <w:rsid w:val="003303AA"/>
    <w:rsid w:val="003534ED"/>
    <w:rsid w:val="00361398"/>
    <w:rsid w:val="00391182"/>
    <w:rsid w:val="003B0323"/>
    <w:rsid w:val="003F07B6"/>
    <w:rsid w:val="004358AF"/>
    <w:rsid w:val="00437377"/>
    <w:rsid w:val="004F1346"/>
    <w:rsid w:val="00522B73"/>
    <w:rsid w:val="005624E2"/>
    <w:rsid w:val="005675A0"/>
    <w:rsid w:val="00586A4D"/>
    <w:rsid w:val="00587FFC"/>
    <w:rsid w:val="00593887"/>
    <w:rsid w:val="005C6901"/>
    <w:rsid w:val="006527CD"/>
    <w:rsid w:val="00666723"/>
    <w:rsid w:val="00686353"/>
    <w:rsid w:val="00694E78"/>
    <w:rsid w:val="006C36CC"/>
    <w:rsid w:val="0075365B"/>
    <w:rsid w:val="007C2131"/>
    <w:rsid w:val="007E5CA7"/>
    <w:rsid w:val="007E5F13"/>
    <w:rsid w:val="007F755E"/>
    <w:rsid w:val="00863E07"/>
    <w:rsid w:val="00880B0A"/>
    <w:rsid w:val="008B4F07"/>
    <w:rsid w:val="008B7349"/>
    <w:rsid w:val="008D23F4"/>
    <w:rsid w:val="008D37D8"/>
    <w:rsid w:val="00907AFE"/>
    <w:rsid w:val="009B0153"/>
    <w:rsid w:val="009D79BC"/>
    <w:rsid w:val="009F344D"/>
    <w:rsid w:val="009F51A9"/>
    <w:rsid w:val="00A1272E"/>
    <w:rsid w:val="00A40762"/>
    <w:rsid w:val="00A45425"/>
    <w:rsid w:val="00A94184"/>
    <w:rsid w:val="00AC2473"/>
    <w:rsid w:val="00AE74B0"/>
    <w:rsid w:val="00B12B5C"/>
    <w:rsid w:val="00B31541"/>
    <w:rsid w:val="00B94DC9"/>
    <w:rsid w:val="00BD3095"/>
    <w:rsid w:val="00BF0B20"/>
    <w:rsid w:val="00C405ED"/>
    <w:rsid w:val="00C427A5"/>
    <w:rsid w:val="00C57195"/>
    <w:rsid w:val="00CC0142"/>
    <w:rsid w:val="00CD5364"/>
    <w:rsid w:val="00CF24F0"/>
    <w:rsid w:val="00D42342"/>
    <w:rsid w:val="00D95996"/>
    <w:rsid w:val="00DF1767"/>
    <w:rsid w:val="00E35F09"/>
    <w:rsid w:val="00E468DA"/>
    <w:rsid w:val="00E56C48"/>
    <w:rsid w:val="00E71F38"/>
    <w:rsid w:val="00E865D7"/>
    <w:rsid w:val="00E874B3"/>
    <w:rsid w:val="00ED5705"/>
    <w:rsid w:val="00F12327"/>
    <w:rsid w:val="00F2176D"/>
    <w:rsid w:val="00F24E9A"/>
    <w:rsid w:val="00F27232"/>
    <w:rsid w:val="00F4194A"/>
    <w:rsid w:val="00F54438"/>
    <w:rsid w:val="00FA0732"/>
    <w:rsid w:val="00FE2DD6"/>
    <w:rsid w:val="00FF46E2"/>
    <w:rsid w:val="0A080FAD"/>
    <w:rsid w:val="2C1D3DB3"/>
    <w:rsid w:val="33739306"/>
    <w:rsid w:val="376CDEEB"/>
    <w:rsid w:val="3B3F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BC3"/>
  <w15:chartTrackingRefBased/>
  <w15:docId w15:val="{2C55FF6F-EA28-4B19-9887-335E2F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8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9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F4500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E874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74B3"/>
    <w:rPr>
      <w:b/>
      <w:bCs/>
    </w:rPr>
  </w:style>
  <w:style w:type="character" w:customStyle="1" w:styleId="Internet-hivatkozs">
    <w:name w:val="Internet-hivatkozás"/>
    <w:basedOn w:val="Bekezdsalapbettpusa"/>
    <w:uiPriority w:val="99"/>
    <w:rsid w:val="00E874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F07"/>
  </w:style>
  <w:style w:type="paragraph" w:styleId="llb">
    <w:name w:val="footer"/>
    <w:basedOn w:val="Norml"/>
    <w:link w:val="llb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F07"/>
  </w:style>
  <w:style w:type="character" w:styleId="Jegyzethivatkozs">
    <w:name w:val="annotation reference"/>
    <w:basedOn w:val="Bekezdsalapbettpusa"/>
    <w:uiPriority w:val="99"/>
    <w:semiHidden/>
    <w:unhideWhenUsed/>
    <w:rsid w:val="00216D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6D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6D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D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D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D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"/>
    <w:rsid w:val="007E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5CA7"/>
  </w:style>
  <w:style w:type="character" w:customStyle="1" w:styleId="eop">
    <w:name w:val="eop"/>
    <w:basedOn w:val="Bekezdsalapbettpusa"/>
    <w:rsid w:val="007E5CA7"/>
  </w:style>
  <w:style w:type="character" w:styleId="Kiemels">
    <w:name w:val="Emphasis"/>
    <w:basedOn w:val="Bekezdsalapbettpusa"/>
    <w:uiPriority w:val="20"/>
    <w:qFormat/>
    <w:rsid w:val="00567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toter.oszk.hu/kereso/" TargetMode="External"/><Relationship Id="rId18" Type="http://schemas.openxmlformats.org/officeDocument/2006/relationships/hyperlink" Target="https://fototer.oszk.hu/torteneti-fenykepek/markus-emilia-mint-noemi-2/" TargetMode="External"/><Relationship Id="rId26" Type="http://schemas.openxmlformats.org/officeDocument/2006/relationships/hyperlink" Target="https://fototer.oszk.hu/torteneti-fenykepek/szentgyorgyi-istvan-mint-brazovics-athana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toter.oszk.hu/torteneti-fenykepek/naday-ferenc-mint-krisztyan-todor-3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ototer.oszk.hu/" TargetMode="External"/><Relationship Id="rId17" Type="http://schemas.openxmlformats.org/officeDocument/2006/relationships/hyperlink" Target="https://fototer.oszk.hu/torteneti-fenykepek/ligeti-juliska-mint-noemi-2/" TargetMode="External"/><Relationship Id="rId25" Type="http://schemas.openxmlformats.org/officeDocument/2006/relationships/hyperlink" Target="https://fototer.oszk.hu/torteneti-fenykepek/gero-lina-mint-noemi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toter.oszk.hu/torteneti-fenykepek/jokaine-nagy-bella-es-jokai-mor-kettos-portreja/" TargetMode="External"/><Relationship Id="rId20" Type="http://schemas.openxmlformats.org/officeDocument/2006/relationships/hyperlink" Target="https://fototer.oszk.hu/torteneti-fenykepek/nagy-imre-mint-timar-mihaly-6/" TargetMode="External"/><Relationship Id="rId29" Type="http://schemas.openxmlformats.org/officeDocument/2006/relationships/hyperlink" Target="https://fototer.oszk.hu/keres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toter.oszk.hu/kereso/" TargetMode="External"/><Relationship Id="rId24" Type="http://schemas.openxmlformats.org/officeDocument/2006/relationships/hyperlink" Target="https://fototer.oszk.hu/torteneti-fenykepek/e-kovacs-gyula-mint-timar-mihaly/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fototer.oszk.hu/torteneti-fenykepek/jokaine-laborfalvi-roza-es-jokai-mor-kettos-portreja/" TargetMode="External"/><Relationship Id="rId23" Type="http://schemas.openxmlformats.org/officeDocument/2006/relationships/hyperlink" Target="https://fototer.oszk.hu/torteneti-fenykepek/szathmaryne-farkas-lujza-mint-zsofia/" TargetMode="External"/><Relationship Id="rId28" Type="http://schemas.openxmlformats.org/officeDocument/2006/relationships/hyperlink" Target="https://fototer.oszk.hu/torteneti-fenykepek/hettyey-aranka-mint-corinna/" TargetMode="External"/><Relationship Id="rId10" Type="http://schemas.openxmlformats.org/officeDocument/2006/relationships/hyperlink" Target="https://fototer.oszk.hu/" TargetMode="External"/><Relationship Id="rId19" Type="http://schemas.openxmlformats.org/officeDocument/2006/relationships/hyperlink" Target="https://fototer.oszk.hu/torteneti-fenykepek/ujhazi-ede-a-gyermekszereplokkel-mint-fabula-janos-es-het-fia-2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toter.oszk.hu/torteneti-fenykepek/jokai-mor-haromnegyed-alakos-portreja-2/" TargetMode="External"/><Relationship Id="rId22" Type="http://schemas.openxmlformats.org/officeDocument/2006/relationships/hyperlink" Target="https://fototer.oszk.hu/torteneti-fenykepek/fay-szerena-mint-timea-3/" TargetMode="External"/><Relationship Id="rId27" Type="http://schemas.openxmlformats.org/officeDocument/2006/relationships/hyperlink" Target="https://fototer.oszk.hu/torteneti-fenykepek/medgyaszay-evelin-mint-glyceria/" TargetMode="External"/><Relationship Id="rId30" Type="http://schemas.openxmlformats.org/officeDocument/2006/relationships/hyperlink" Target="mailto:oszkpress@oszk.hu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0f92f711d043aafded67d44c0bf2a5d3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745eac5c57f8c74ba7bb6d4787db2cfc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1FC5-00BF-48E3-A662-AA6208FE1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80E94-D397-4AEC-89AD-E5A562E9B544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3e1c623-a841-4975-83a7-b548dec47fe7"/>
    <ds:schemaRef ds:uri="256bb414-c15b-4942-90d6-4fdd244f0c44"/>
  </ds:schemaRefs>
</ds:datastoreItem>
</file>

<file path=customXml/itemProps3.xml><?xml version="1.0" encoding="utf-8"?>
<ds:datastoreItem xmlns:ds="http://schemas.openxmlformats.org/officeDocument/2006/customXml" ds:itemID="{B7CE8611-03A1-4B64-9FD2-8690B471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3B8ED-3663-439F-9AE5-3A3A368F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Bernadett, dr.</dc:creator>
  <cp:keywords/>
  <dc:description/>
  <cp:lastModifiedBy>Ujhelyy Attila</cp:lastModifiedBy>
  <cp:revision>7</cp:revision>
  <dcterms:created xsi:type="dcterms:W3CDTF">2025-06-12T09:03:00Z</dcterms:created>
  <dcterms:modified xsi:type="dcterms:W3CDTF">2025-08-13T12:12:00Z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